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1B0" w:rsidRPr="00C54AD7" w:rsidRDefault="00BA21B0" w:rsidP="00BA21B0">
      <w:pPr>
        <w:spacing w:after="0" w:line="480" w:lineRule="auto"/>
        <w:jc w:val="center"/>
        <w:rPr>
          <w:rFonts w:asciiTheme="majorBidi" w:hAnsiTheme="majorBidi" w:cstheme="majorBidi"/>
          <w:b/>
          <w:bCs/>
          <w:sz w:val="28"/>
          <w:szCs w:val="28"/>
        </w:rPr>
      </w:pPr>
      <w:r w:rsidRPr="00C54AD7">
        <w:rPr>
          <w:rFonts w:asciiTheme="majorBidi" w:hAnsiTheme="majorBidi" w:cstheme="majorBidi" w:hint="cs"/>
          <w:b/>
          <w:bCs/>
          <w:sz w:val="28"/>
          <w:szCs w:val="28"/>
          <w:rtl/>
        </w:rPr>
        <w:t>الخ</w:t>
      </w:r>
      <w:r>
        <w:rPr>
          <w:rFonts w:asciiTheme="majorBidi" w:hAnsiTheme="majorBidi" w:cstheme="majorBidi" w:hint="cs"/>
          <w:b/>
          <w:bCs/>
          <w:sz w:val="28"/>
          <w:szCs w:val="28"/>
          <w:rtl/>
        </w:rPr>
        <w:t>ـ</w:t>
      </w:r>
      <w:r w:rsidRPr="00C54AD7">
        <w:rPr>
          <w:rFonts w:asciiTheme="majorBidi" w:hAnsiTheme="majorBidi" w:cstheme="majorBidi" w:hint="cs"/>
          <w:b/>
          <w:bCs/>
          <w:sz w:val="28"/>
          <w:szCs w:val="28"/>
          <w:rtl/>
        </w:rPr>
        <w:t>لاص</w:t>
      </w:r>
      <w:r>
        <w:rPr>
          <w:rFonts w:asciiTheme="majorBidi" w:hAnsiTheme="majorBidi" w:cstheme="majorBidi" w:hint="cs"/>
          <w:b/>
          <w:bCs/>
          <w:sz w:val="28"/>
          <w:szCs w:val="28"/>
          <w:rtl/>
        </w:rPr>
        <w:t>ـــ</w:t>
      </w:r>
      <w:r w:rsidRPr="00C54AD7">
        <w:rPr>
          <w:rFonts w:asciiTheme="majorBidi" w:hAnsiTheme="majorBidi" w:cstheme="majorBidi" w:hint="cs"/>
          <w:b/>
          <w:bCs/>
          <w:sz w:val="28"/>
          <w:szCs w:val="28"/>
          <w:rtl/>
        </w:rPr>
        <w:t>ة</w:t>
      </w:r>
    </w:p>
    <w:p w:rsidR="00BA21B0" w:rsidRPr="00C54AD7" w:rsidRDefault="00BA21B0" w:rsidP="00BA21B0">
      <w:pPr>
        <w:spacing w:after="0" w:line="480" w:lineRule="auto"/>
        <w:jc w:val="both"/>
        <w:rPr>
          <w:rFonts w:asciiTheme="majorBidi" w:hAnsiTheme="majorBidi" w:cstheme="majorBidi"/>
          <w:sz w:val="24"/>
          <w:szCs w:val="24"/>
        </w:rPr>
      </w:pPr>
      <w:r w:rsidRPr="00C54AD7">
        <w:rPr>
          <w:rFonts w:asciiTheme="majorBidi" w:hAnsiTheme="majorBidi" w:cstheme="majorBidi"/>
          <w:sz w:val="24"/>
          <w:szCs w:val="24"/>
          <w:rtl/>
        </w:rPr>
        <w:t xml:space="preserve">على الصعيد العالمي،  فيروس الروتا  هوالمسبب الرئيسي  للامراض الرئيسية الشائعة من الإسهال عند الرضع والأطفال الصغار والعجول حديثي الولادة. من المهم جدا لتشخيص المبكر للمرض لعلاج المرضى بشكل فعال. الجفاف الناجم عن فيروس الروتا والإسهال الشديد ما زال المساهم الرئيسي في وفيات الأطفال، وبخاصة في البلدان النامية. في جميع أنحاء العالم، مراقبة فيروس الروتا خطوة حيوية نحو تطوير لقاح آمن وفعال للسيطرة على معدلات عالية من الإصابة. في العراق، ومع ذلك، هناك بيانات قليلة موثقة تذكر على وبائية فيروس الروتا، وتداور السلالات. الهدف من هذه الدراسة  كان  لتحديد مدى انتشار وخصائص الجزيئية لفيروس الروتا، وتأثيرة على الأنسجة المسؤولة عن التهاب المعدة والأمعاء الحاد في كل من الماشية والأطفال في خمس محافظات عراقية </w:t>
      </w:r>
      <w:r>
        <w:rPr>
          <w:rFonts w:asciiTheme="majorBidi" w:hAnsiTheme="majorBidi" w:cstheme="majorBidi"/>
          <w:sz w:val="24"/>
          <w:szCs w:val="24"/>
          <w:rtl/>
        </w:rPr>
        <w:t>سلالات الفيروس العجلي (القادسية</w:t>
      </w:r>
      <w:r>
        <w:rPr>
          <w:rFonts w:asciiTheme="majorBidi" w:hAnsiTheme="majorBidi" w:cstheme="majorBidi" w:hint="cs"/>
          <w:sz w:val="24"/>
          <w:szCs w:val="24"/>
          <w:rtl/>
        </w:rPr>
        <w:t xml:space="preserve">، </w:t>
      </w:r>
      <w:r w:rsidRPr="00C54AD7">
        <w:rPr>
          <w:rFonts w:asciiTheme="majorBidi" w:hAnsiTheme="majorBidi" w:cstheme="majorBidi"/>
          <w:sz w:val="24"/>
          <w:szCs w:val="24"/>
          <w:rtl/>
        </w:rPr>
        <w:t>وبابل</w:t>
      </w:r>
      <w:r>
        <w:rPr>
          <w:rFonts w:asciiTheme="majorBidi" w:hAnsiTheme="majorBidi" w:cstheme="majorBidi" w:hint="cs"/>
          <w:sz w:val="24"/>
          <w:szCs w:val="24"/>
          <w:rtl/>
        </w:rPr>
        <w:t xml:space="preserve">، </w:t>
      </w:r>
      <w:r w:rsidRPr="00C54AD7">
        <w:rPr>
          <w:rFonts w:asciiTheme="majorBidi" w:hAnsiTheme="majorBidi" w:cstheme="majorBidi"/>
          <w:sz w:val="24"/>
          <w:szCs w:val="24"/>
          <w:rtl/>
        </w:rPr>
        <w:t>وكربلاء</w:t>
      </w:r>
      <w:r>
        <w:rPr>
          <w:rFonts w:asciiTheme="majorBidi" w:hAnsiTheme="majorBidi" w:cstheme="majorBidi" w:hint="cs"/>
          <w:sz w:val="24"/>
          <w:szCs w:val="24"/>
          <w:rtl/>
        </w:rPr>
        <w:t>،</w:t>
      </w:r>
      <w:r w:rsidRPr="00C54AD7">
        <w:rPr>
          <w:rFonts w:asciiTheme="majorBidi" w:hAnsiTheme="majorBidi" w:cstheme="majorBidi"/>
          <w:sz w:val="24"/>
          <w:szCs w:val="24"/>
          <w:rtl/>
        </w:rPr>
        <w:t xml:space="preserve"> وميسان، </w:t>
      </w:r>
      <w:r>
        <w:rPr>
          <w:rFonts w:asciiTheme="majorBidi" w:hAnsiTheme="majorBidi" w:cstheme="majorBidi" w:hint="cs"/>
          <w:sz w:val="24"/>
          <w:szCs w:val="24"/>
          <w:rtl/>
        </w:rPr>
        <w:t>و</w:t>
      </w:r>
      <w:r w:rsidRPr="00C54AD7">
        <w:rPr>
          <w:rFonts w:asciiTheme="majorBidi" w:hAnsiTheme="majorBidi" w:cstheme="majorBidi"/>
          <w:sz w:val="24"/>
          <w:szCs w:val="24"/>
          <w:rtl/>
        </w:rPr>
        <w:t>واسط). تم اجرا</w:t>
      </w:r>
      <w:r>
        <w:rPr>
          <w:rFonts w:asciiTheme="majorBidi" w:hAnsiTheme="majorBidi" w:cstheme="majorBidi"/>
          <w:sz w:val="24"/>
          <w:szCs w:val="24"/>
          <w:rtl/>
        </w:rPr>
        <w:t>ء الفحوص على ١٢٥عينة خروج</w:t>
      </w:r>
      <w:r w:rsidRPr="00C54AD7">
        <w:rPr>
          <w:rFonts w:asciiTheme="majorBidi" w:hAnsiTheme="majorBidi" w:cstheme="majorBidi"/>
          <w:sz w:val="24"/>
          <w:szCs w:val="24"/>
          <w:rtl/>
        </w:rPr>
        <w:t>. تم جمعها من العجول خلال الفترة من نوفمبر ٢٠١٥ إلى فبراير ٢٠١٦. والتي تتراوح أعمارهم من ١  أسبوع إلى ١٦</w:t>
      </w:r>
      <w:r>
        <w:rPr>
          <w:rFonts w:asciiTheme="majorBidi" w:hAnsiTheme="majorBidi" w:cstheme="majorBidi"/>
          <w:sz w:val="24"/>
          <w:szCs w:val="24"/>
          <w:rtl/>
        </w:rPr>
        <w:t xml:space="preserve"> أسبوعا</w:t>
      </w:r>
      <w:r w:rsidRPr="00C54AD7">
        <w:rPr>
          <w:rFonts w:asciiTheme="majorBidi" w:hAnsiTheme="majorBidi" w:cstheme="majorBidi"/>
          <w:sz w:val="24"/>
          <w:szCs w:val="24"/>
          <w:rtl/>
        </w:rPr>
        <w:t>. تم استخدام اختبارات المناعية الكروماتوغرافي، فحص انزيم مرتبط المناعي وتفاعل البلمرة المتسلسل تم الحصول على النتائج من قبل المناعية الكروماتوغرافي ٤٤٪ إيجابي، ٤٢٪ ايجابي فحص انزيم مرتبط المناعي و ٣٨٪ إيجابي في تفاعل البلمرة المتسلسل</w:t>
      </w:r>
      <w:r w:rsidRPr="00C54AD7">
        <w:rPr>
          <w:rFonts w:asciiTheme="majorBidi" w:hAnsiTheme="majorBidi" w:cstheme="majorBidi" w:hint="cs"/>
          <w:sz w:val="24"/>
          <w:szCs w:val="24"/>
          <w:rtl/>
        </w:rPr>
        <w:t>.</w:t>
      </w:r>
    </w:p>
    <w:p w:rsidR="00BA21B0" w:rsidRDefault="00BA21B0" w:rsidP="00BA21B0">
      <w:pPr>
        <w:spacing w:after="0" w:line="480" w:lineRule="auto"/>
        <w:jc w:val="both"/>
        <w:rPr>
          <w:rFonts w:asciiTheme="majorBidi" w:hAnsiTheme="majorBidi" w:cstheme="majorBidi"/>
          <w:sz w:val="24"/>
          <w:szCs w:val="24"/>
        </w:rPr>
      </w:pPr>
      <w:r w:rsidRPr="00C54AD7">
        <w:rPr>
          <w:rFonts w:asciiTheme="majorBidi" w:hAnsiTheme="majorBidi" w:cstheme="majorBidi"/>
          <w:sz w:val="24"/>
          <w:szCs w:val="24"/>
          <w:rtl/>
        </w:rPr>
        <w:t>لغرض التنميط الجيني، تم تحليل العينات التي تحتوي فيروس الروتا البقري والعينات التي تحتوي على فايروس الروتا البشري باستخدام تفاعل البلمرة المتسلسل</w:t>
      </w:r>
      <w:r w:rsidRPr="00C54AD7">
        <w:rPr>
          <w:rFonts w:asciiTheme="majorBidi" w:hAnsiTheme="majorBidi" w:cstheme="majorBidi" w:hint="cs"/>
          <w:sz w:val="24"/>
          <w:szCs w:val="24"/>
          <w:rtl/>
        </w:rPr>
        <w:t>.حُددت أ</w:t>
      </w:r>
      <w:r w:rsidRPr="00C54AD7">
        <w:rPr>
          <w:rFonts w:asciiTheme="majorBidi" w:hAnsiTheme="majorBidi" w:cstheme="majorBidi"/>
          <w:sz w:val="24"/>
          <w:szCs w:val="24"/>
          <w:rtl/>
        </w:rPr>
        <w:t>نم</w:t>
      </w:r>
      <w:r w:rsidRPr="00C54AD7">
        <w:rPr>
          <w:rFonts w:asciiTheme="majorBidi" w:hAnsiTheme="majorBidi" w:cstheme="majorBidi" w:hint="cs"/>
          <w:sz w:val="24"/>
          <w:szCs w:val="24"/>
          <w:rtl/>
        </w:rPr>
        <w:t>ا</w:t>
      </w:r>
      <w:r w:rsidRPr="00C54AD7">
        <w:rPr>
          <w:rFonts w:asciiTheme="majorBidi" w:hAnsiTheme="majorBidi" w:cstheme="majorBidi"/>
          <w:sz w:val="24"/>
          <w:szCs w:val="24"/>
          <w:rtl/>
        </w:rPr>
        <w:t xml:space="preserve">ط </w:t>
      </w:r>
      <w:r w:rsidRPr="00C54AD7">
        <w:rPr>
          <w:rFonts w:asciiTheme="majorBidi" w:hAnsiTheme="majorBidi" w:cstheme="majorBidi" w:hint="cs"/>
          <w:sz w:val="24"/>
          <w:szCs w:val="24"/>
          <w:rtl/>
        </w:rPr>
        <w:t xml:space="preserve">التركيب </w:t>
      </w:r>
      <w:r w:rsidRPr="00C54AD7">
        <w:rPr>
          <w:rFonts w:asciiTheme="majorBidi" w:hAnsiTheme="majorBidi" w:cstheme="majorBidi"/>
          <w:sz w:val="24"/>
          <w:szCs w:val="24"/>
          <w:rtl/>
        </w:rPr>
        <w:t>الجيني</w:t>
      </w:r>
      <w:r w:rsidRPr="00C54AD7">
        <w:rPr>
          <w:rFonts w:asciiTheme="majorBidi" w:hAnsiTheme="majorBidi" w:cstheme="majorBidi"/>
          <w:sz w:val="24"/>
          <w:szCs w:val="24"/>
        </w:rPr>
        <w:t>G6P[5]</w:t>
      </w:r>
      <w:r w:rsidRPr="00C54AD7">
        <w:rPr>
          <w:rFonts w:asciiTheme="majorBidi" w:hAnsiTheme="majorBidi" w:cstheme="majorBidi" w:hint="cs"/>
          <w:sz w:val="24"/>
          <w:szCs w:val="24"/>
          <w:rtl/>
        </w:rPr>
        <w:t xml:space="preserve">، و </w:t>
      </w:r>
      <w:r w:rsidRPr="00C54AD7">
        <w:rPr>
          <w:rFonts w:asciiTheme="majorBidi" w:hAnsiTheme="majorBidi" w:cstheme="majorBidi"/>
          <w:sz w:val="24"/>
          <w:szCs w:val="24"/>
        </w:rPr>
        <w:t>G6P[11]</w:t>
      </w:r>
      <w:r w:rsidRPr="00C54AD7">
        <w:rPr>
          <w:rFonts w:asciiTheme="majorBidi" w:hAnsiTheme="majorBidi" w:cstheme="majorBidi" w:hint="cs"/>
          <w:sz w:val="24"/>
          <w:szCs w:val="24"/>
          <w:rtl/>
        </w:rPr>
        <w:t>، و</w:t>
      </w:r>
      <w:r w:rsidRPr="00C54AD7">
        <w:rPr>
          <w:rFonts w:asciiTheme="majorBidi" w:hAnsiTheme="majorBidi" w:cstheme="majorBidi"/>
          <w:sz w:val="24"/>
          <w:szCs w:val="24"/>
        </w:rPr>
        <w:t>G10P[5]</w:t>
      </w:r>
      <w:r w:rsidRPr="00C54AD7">
        <w:rPr>
          <w:rFonts w:asciiTheme="majorBidi" w:hAnsiTheme="majorBidi" w:cstheme="majorBidi" w:hint="cs"/>
          <w:sz w:val="24"/>
          <w:szCs w:val="24"/>
          <w:rtl/>
        </w:rPr>
        <w:t xml:space="preserve"> في 30</w:t>
      </w:r>
      <w:r w:rsidRPr="00C54AD7">
        <w:rPr>
          <w:rFonts w:asciiTheme="majorBidi" w:hAnsiTheme="majorBidi" w:cstheme="majorBidi"/>
          <w:sz w:val="24"/>
          <w:szCs w:val="24"/>
          <w:rtl/>
        </w:rPr>
        <w:t>٪</w:t>
      </w:r>
      <w:r w:rsidRPr="00C54AD7">
        <w:rPr>
          <w:rFonts w:asciiTheme="majorBidi" w:hAnsiTheme="majorBidi" w:cstheme="majorBidi" w:hint="cs"/>
          <w:sz w:val="24"/>
          <w:szCs w:val="24"/>
          <w:rtl/>
        </w:rPr>
        <w:t xml:space="preserve"> من العينات البقرية يليها نمطالتركيب </w:t>
      </w:r>
      <w:r w:rsidRPr="00C54AD7">
        <w:rPr>
          <w:rFonts w:asciiTheme="majorBidi" w:hAnsiTheme="majorBidi" w:cstheme="majorBidi"/>
          <w:sz w:val="24"/>
          <w:szCs w:val="24"/>
          <w:rtl/>
        </w:rPr>
        <w:t>الجيني</w:t>
      </w:r>
      <w:r w:rsidRPr="00C54AD7">
        <w:rPr>
          <w:rFonts w:asciiTheme="majorBidi" w:hAnsiTheme="majorBidi" w:cstheme="majorBidi"/>
          <w:sz w:val="24"/>
          <w:szCs w:val="24"/>
        </w:rPr>
        <w:t xml:space="preserve"> G10P[11]</w:t>
      </w:r>
      <w:r w:rsidRPr="00C54AD7">
        <w:rPr>
          <w:rFonts w:asciiTheme="majorBidi" w:hAnsiTheme="majorBidi" w:cstheme="majorBidi" w:hint="cs"/>
          <w:sz w:val="24"/>
          <w:szCs w:val="24"/>
          <w:rtl/>
        </w:rPr>
        <w:t xml:space="preserve">بنسبة </w:t>
      </w:r>
      <w:r>
        <w:rPr>
          <w:rFonts w:asciiTheme="majorBidi" w:hAnsiTheme="majorBidi" w:cstheme="majorBidi"/>
          <w:sz w:val="24"/>
          <w:szCs w:val="24"/>
        </w:rPr>
        <w:t>.</w:t>
      </w:r>
      <w:r w:rsidRPr="00C54AD7">
        <w:rPr>
          <w:rFonts w:asciiTheme="majorBidi" w:hAnsiTheme="majorBidi" w:cstheme="majorBidi"/>
          <w:sz w:val="24"/>
          <w:szCs w:val="24"/>
        </w:rPr>
        <w:t>(10%)</w:t>
      </w:r>
    </w:p>
    <w:p w:rsidR="00BA21B0" w:rsidRPr="00E26184" w:rsidRDefault="00BA21B0" w:rsidP="00BA21B0">
      <w:pPr>
        <w:spacing w:after="0" w:line="480" w:lineRule="auto"/>
        <w:jc w:val="both"/>
        <w:rPr>
          <w:rFonts w:asciiTheme="majorBidi" w:hAnsiTheme="majorBidi" w:cstheme="majorBidi"/>
          <w:sz w:val="24"/>
          <w:szCs w:val="24"/>
        </w:rPr>
      </w:pPr>
      <w:r w:rsidRPr="00C54AD7">
        <w:rPr>
          <w:rFonts w:asciiTheme="majorBidi" w:hAnsiTheme="majorBidi" w:cstheme="majorBidi"/>
          <w:sz w:val="24"/>
          <w:szCs w:val="24"/>
          <w:rtl/>
        </w:rPr>
        <w:t xml:space="preserve">هذه المعلومات لا تساعد فقط في السعى إلى الدعوة للأخذ بلقاح فيروس الروتا في البرنامج الوطني للتحصين في العراق </w:t>
      </w:r>
      <w:r w:rsidRPr="00C54AD7">
        <w:rPr>
          <w:rFonts w:asciiTheme="majorBidi" w:hAnsiTheme="majorBidi" w:cstheme="majorBidi" w:hint="cs"/>
          <w:sz w:val="24"/>
          <w:szCs w:val="24"/>
          <w:rtl/>
        </w:rPr>
        <w:t>بل</w:t>
      </w:r>
      <w:r w:rsidRPr="00C54AD7">
        <w:rPr>
          <w:rFonts w:asciiTheme="majorBidi" w:hAnsiTheme="majorBidi" w:cstheme="majorBidi"/>
          <w:sz w:val="24"/>
          <w:szCs w:val="24"/>
          <w:rtl/>
        </w:rPr>
        <w:t xml:space="preserve"> س</w:t>
      </w:r>
      <w:r w:rsidRPr="00C54AD7">
        <w:rPr>
          <w:rFonts w:asciiTheme="majorBidi" w:hAnsiTheme="majorBidi" w:cstheme="majorBidi" w:hint="cs"/>
          <w:sz w:val="24"/>
          <w:szCs w:val="24"/>
          <w:rtl/>
        </w:rPr>
        <w:t>ت</w:t>
      </w:r>
      <w:r w:rsidRPr="00C54AD7">
        <w:rPr>
          <w:rFonts w:asciiTheme="majorBidi" w:hAnsiTheme="majorBidi" w:cstheme="majorBidi"/>
          <w:sz w:val="24"/>
          <w:szCs w:val="24"/>
          <w:rtl/>
        </w:rPr>
        <w:t>ساعد أيضا في تقييم مدى فعالية هذه اللقاحات فيما يتعلق بتداول فيروس الروتا الوراثي. يجب مراعاة عدم التجانس والتغيرات المستمرة في وبائية السل</w:t>
      </w:r>
      <w:bookmarkStart w:id="0" w:name="_GoBack"/>
      <w:bookmarkEnd w:id="0"/>
      <w:r w:rsidRPr="00C54AD7">
        <w:rPr>
          <w:rFonts w:asciiTheme="majorBidi" w:hAnsiTheme="majorBidi" w:cstheme="majorBidi"/>
          <w:sz w:val="24"/>
          <w:szCs w:val="24"/>
          <w:rtl/>
        </w:rPr>
        <w:t>الات المختلفة من فايروس الروتا عبر البلاد للتأكد من اللقاحات، لضمان ان هذ</w:t>
      </w:r>
      <w:r w:rsidRPr="00C54AD7">
        <w:rPr>
          <w:rFonts w:asciiTheme="majorBidi" w:hAnsiTheme="majorBidi" w:cstheme="majorBidi" w:hint="cs"/>
          <w:sz w:val="24"/>
          <w:szCs w:val="24"/>
          <w:rtl/>
        </w:rPr>
        <w:t>ه</w:t>
      </w:r>
      <w:r w:rsidRPr="00C54AD7">
        <w:rPr>
          <w:rFonts w:asciiTheme="majorBidi" w:hAnsiTheme="majorBidi" w:cstheme="majorBidi"/>
          <w:sz w:val="24"/>
          <w:szCs w:val="24"/>
          <w:rtl/>
        </w:rPr>
        <w:t xml:space="preserve"> ال</w:t>
      </w:r>
      <w:r w:rsidRPr="00C54AD7">
        <w:rPr>
          <w:rFonts w:asciiTheme="majorBidi" w:hAnsiTheme="majorBidi" w:cstheme="majorBidi" w:hint="cs"/>
          <w:sz w:val="24"/>
          <w:szCs w:val="24"/>
          <w:rtl/>
        </w:rPr>
        <w:t>ل</w:t>
      </w:r>
      <w:r w:rsidRPr="00C54AD7">
        <w:rPr>
          <w:rFonts w:asciiTheme="majorBidi" w:hAnsiTheme="majorBidi" w:cstheme="majorBidi"/>
          <w:sz w:val="24"/>
          <w:szCs w:val="24"/>
          <w:rtl/>
        </w:rPr>
        <w:t>قاحات توفر برامج الحماية المثلى</w:t>
      </w:r>
      <w:r w:rsidRPr="00C54AD7">
        <w:rPr>
          <w:rFonts w:asciiTheme="majorBidi" w:hAnsiTheme="majorBidi" w:cstheme="majorBidi" w:hint="cs"/>
          <w:sz w:val="24"/>
          <w:szCs w:val="24"/>
          <w:rtl/>
        </w:rPr>
        <w:t>.</w:t>
      </w:r>
    </w:p>
    <w:p w:rsidR="0000171E" w:rsidRPr="00BA21B0" w:rsidRDefault="0000171E"/>
    <w:sectPr w:rsidR="0000171E" w:rsidRPr="00BA21B0" w:rsidSect="00056F1C">
      <w:footerReference w:type="default" r:id="rId4"/>
      <w:pgSz w:w="12240" w:h="15840"/>
      <w:pgMar w:top="1276" w:right="2268" w:bottom="1418" w:left="1418" w:header="720" w:footer="720" w:gutter="0"/>
      <w:pgNumType w:fmt="arabicAlpha"/>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2287" w:usb1="00000000" w:usb2="00000000" w:usb3="00000000" w:csb0="000000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F1C" w:rsidRPr="00056F1C" w:rsidRDefault="0000171E" w:rsidP="009D66A1">
    <w:pPr>
      <w:pStyle w:val="Footer"/>
      <w:jc w:val="center"/>
      <w:rPr>
        <w:sz w:val="24"/>
        <w:szCs w:val="24"/>
      </w:rPr>
    </w:pPr>
  </w:p>
  <w:p w:rsidR="00056F1C" w:rsidRDefault="0000171E">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21B0"/>
    <w:rsid w:val="0000171E"/>
    <w:rsid w:val="00BA21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21B0"/>
    <w:pPr>
      <w:tabs>
        <w:tab w:val="center" w:pos="4153"/>
        <w:tab w:val="right" w:pos="8306"/>
      </w:tabs>
      <w:bidi w:val="0"/>
      <w:spacing w:after="0" w:line="240" w:lineRule="auto"/>
    </w:pPr>
    <w:rPr>
      <w:rFonts w:eastAsiaTheme="minorHAnsi"/>
    </w:rPr>
  </w:style>
  <w:style w:type="character" w:customStyle="1" w:styleId="FooterChar">
    <w:name w:val="Footer Char"/>
    <w:basedOn w:val="DefaultParagraphFont"/>
    <w:link w:val="Footer"/>
    <w:uiPriority w:val="99"/>
    <w:rsid w:val="00BA21B0"/>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Company>Naim Al Hussaini</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dc:creator>
  <cp:keywords/>
  <dc:description/>
  <cp:lastModifiedBy>bashar</cp:lastModifiedBy>
  <cp:revision>2</cp:revision>
  <dcterms:created xsi:type="dcterms:W3CDTF">2017-07-12T08:53:00Z</dcterms:created>
  <dcterms:modified xsi:type="dcterms:W3CDTF">2017-07-12T08:53:00Z</dcterms:modified>
</cp:coreProperties>
</file>